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  <w:jc w:val="center"/>
      </w:pPr>
      <w:r>
        <w:drawing>
          <wp:inline distT="0" distB="0" distL="0" distR="0">
            <wp:extent cx="2667000" cy="1333500"/>
            <wp:effectExtent t="0" r="0" b="0" l="0"/>
            <wp:docPr id="1" name="logo" descr="Logo MARVAL" title="MAR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00"/>
        <w:jc w:val="center"/>
      </w:pPr>
      <w:r>
        <w:rPr>
          <w:rFonts w:ascii="Arial" w:cs="Arial" w:eastAsia="Arial" w:hAnsi="Arial"/>
          <w:b/>
          <w:bCs/>
          <w:color w:val="222601"/>
          <w:sz w:val="44"/>
          <w:szCs w:val="44"/>
        </w:rPr>
        <w:t xml:space="preserve">PLAN ESTRATEGICO COMERCIAL</w:t>
      </w:r>
    </w:p>
    <w:p>
      <w:pPr>
        <w:spacing w:after="200"/>
        <w:jc w:val="center"/>
      </w:pPr>
      <w:r>
        <w:rPr>
          <w:rFonts w:ascii="Arial" w:cs="Arial" w:eastAsia="Arial" w:hAnsi="Arial"/>
          <w:color w:val="6B6B5A"/>
          <w:sz w:val="28"/>
          <w:szCs w:val="28"/>
        </w:rPr>
        <w:t xml:space="preserve">Version Actualizada — Abril 2026</w:t>
      </w:r>
    </w:p>
    <w:p>
      <w:pPr>
        <w:spacing w:before="600"/>
        <w:jc w:val="center"/>
      </w:pPr>
      <w:r>
        <w:rPr>
          <w:rFonts w:ascii="Arial" w:cs="Arial" w:eastAsia="Arial" w:hAnsi="Arial"/>
          <w:color w:val="7AB648"/>
          <w:sz w:val="24"/>
          <w:szCs w:val="24"/>
        </w:rPr>
        <w:t xml:space="preserve">MARVAL Servicios Gastronomicos para Empresas</w:t>
      </w:r>
    </w:p>
    <w:p>
      <w:pPr>
        <w:jc w:val="center"/>
      </w:pPr>
      <w:r>
        <w:rPr>
          <w:rFonts w:ascii="Arial" w:cs="Arial" w:eastAsia="Arial" w:hAnsi="Arial"/>
          <w:color w:val="6B6B5A"/>
          <w:sz w:val="22"/>
          <w:szCs w:val="22"/>
        </w:rPr>
        <w:t xml:space="preserve">Asesor Comercial: Nicolas Geronimo</w:t>
      </w:r>
    </w:p>
    <w:p>
      <w:pPr>
        <w:jc w:val="center"/>
      </w:pPr>
      <w:r>
        <w:rPr>
          <w:rFonts w:ascii="Arial" w:cs="Arial" w:eastAsia="Arial" w:hAnsi="Arial"/>
          <w:color w:val="6B6B5A"/>
          <w:sz w:val="20"/>
          <w:szCs w:val="20"/>
        </w:rPr>
        <w:t xml:space="preserve">comercial@marvalrh.com.ar | 11 3593-5955</w:t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222601"/>
          <w:sz w:val="36"/>
          <w:szCs w:val="36"/>
        </w:rPr>
        <w:t xml:space="preserve">1. Introduccion y Contexto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MARVAL RH se encuentra en plena fase de expansion comercial dentro del mercado de servicios gastronomicos empresariales. Con una estructura operativa solida, una planta industrial que garantiza calidad constante y mas de 50 contratos activos, la empresa cuenta con una base operativa excepcional para escalar su presencia comercial.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Este plan actualizado refleja el trabajo realizado entre enero y abril de 2026, los resultados obtenidos en la primera fase de estructuracion, y el estado actual de la prospeccion activa. Se incorporan las oportunidades generadas, los ajustes estrategicos realizados y los proximos pasos concretos.</w:t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222601"/>
          <w:sz w:val="36"/>
          <w:szCs w:val="36"/>
        </w:rPr>
        <w:t xml:space="preserve">2. Objetivos del Plan Comercial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✅  Crear un sistema comercial profesional, estable y escalable.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✅  Aumentar la captacion de nuevos clientes corporativos.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✅  Implementar herramientas digitales que acompanen el crecimiento.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✅  Elevar el posicionamiento de MARVAL como empresa referente en servicios gastronomicos para industrias.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🔄  Generar oportunidades comerciales concretas a traves de prospeccion activa.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🔄  Cerrar contratos nuevos en el segmento industrial/manufacturero.</w:t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222601"/>
          <w:sz w:val="36"/>
          <w:szCs w:val="36"/>
        </w:rPr>
        <w:t xml:space="preserve">3. Modelo de Gestion Adoptado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Se opto por un modelo hibrido: Nicolas Geronimo asume la funcion de asesor comercial y ejecutivo de cuentas, con apoyo de herramientas de IA para escalar procesos. Esta decision permite mayor control del sistema inicial, mejor calidad de los materiales producidos y menor costo operativo en la fase de estructuracion.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El modelo se complementa con la contratacion de MIMA Producciones para la activacion de redes sociales y contenido audiovisual.</w:t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222601"/>
          <w:sz w:val="36"/>
          <w:szCs w:val="36"/>
        </w:rPr>
        <w:t xml:space="preserve">4. Fase 1 — Estructuracion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7AB648"/>
          <w:sz w:val="22"/>
          <w:szCs w:val="22"/>
        </w:rPr>
        <w:t xml:space="preserve">COMPLETADA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Periodo: Enero — Marzo 2026</w:t>
      </w:r>
    </w:p>
    <w:p>
      <w:pPr>
        <w:spacing w:after="200" w:before="200"/>
      </w:pP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222601"/>
          <w:sz w:val="24"/>
          <w:szCs w:val="24"/>
        </w:rPr>
        <w:t xml:space="preserve">Entregables completados: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✅  Base de datos consolidada (354 empresas, 4 fuentes unificadas)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✅  Contratacion Know How Database para ampliacion de universo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✅  Brochure institucional MARVAL (Agencia Plano)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✅  Dossier Comercial MARVAL (15 paginas, formato PDF)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✅  Template de cotizacion MARVAL Viandas Corporativas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✅  Gestor de Email Marketing con seguimiento por empresa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✅  CRM comercial operativo (este documento)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✅  Cotizador automatico de propuestas de precio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✅  Linea telefonica corporativa entregada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✅  Inicio activacion redes sociales (MIMA Producciones — marzo 2026)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✅  Plantilla maestra para licitaciones (modelo hibrido + App + F931)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✅  Pitch comercial + checklist para comedores +100 empleados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222601"/>
          <w:sz w:val="36"/>
          <w:szCs w:val="36"/>
        </w:rPr>
        <w:t xml:space="preserve">5. Fase 2 — Prospeccion Activa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D4A017"/>
          <w:sz w:val="22"/>
          <w:szCs w:val="22"/>
        </w:rPr>
        <w:t xml:space="preserve">EN CURSO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Periodo: Marzo — Abril 2026</w:t>
      </w:r>
    </w:p>
    <w:p>
      <w:pPr>
        <w:spacing w:after="200" w:before="200"/>
      </w:pP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222601"/>
          <w:sz w:val="24"/>
          <w:szCs w:val="24"/>
        </w:rPr>
        <w:t xml:space="preserve">Acciones ejecutadas: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🔄  Campana email Toque 1 ejecutada (base industrial/manufacturera, Dias 1-4)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🔄  Seguimientos (Envios Pendientes) en curso — 175 contactos activos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🔄  Oportunidad activa: Keiser Group — Georgina — 30/38 PAX — Hurlingham Industrial Park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🔄  Oportunidad activa: Laboratorio Boehringer — licitacion comedor personal — propuesta solicitada</w:t>
      </w:r>
    </w:p>
    <w:p>
      <w:pPr>
        <w:spacing w:after="200" w:before="200"/>
      </w:pP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222601"/>
          <w:sz w:val="24"/>
          <w:szCs w:val="24"/>
        </w:rPr>
        <w:t xml:space="preserve">Resultados de campana: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Empresas en base: </w:t>
      </w:r>
      <w:r>
        <w:rPr>
          <w:rFonts w:ascii="Arial" w:cs="Arial" w:eastAsia="Arial" w:hAnsi="Arial"/>
          <w:sz w:val="22"/>
          <w:szCs w:val="22"/>
        </w:rPr>
        <w:t xml:space="preserve">354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Mails activos (sin rebotes): </w:t>
      </w:r>
      <w:r>
        <w:rPr>
          <w:rFonts w:ascii="Arial" w:cs="Arial" w:eastAsia="Arial" w:hAnsi="Arial"/>
          <w:sz w:val="22"/>
          <w:szCs w:val="22"/>
        </w:rPr>
        <w:t xml:space="preserve">175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Rebotes identificados: </w:t>
      </w:r>
      <w:r>
        <w:rPr>
          <w:rFonts w:ascii="Arial" w:cs="Arial" w:eastAsia="Arial" w:hAnsi="Arial"/>
          <w:sz w:val="22"/>
          <w:szCs w:val="22"/>
        </w:rPr>
        <w:t xml:space="preserve">59 (separados del flujo)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Sin mail, con telefono: </w:t>
      </w:r>
      <w:r>
        <w:rPr>
          <w:rFonts w:ascii="Arial" w:cs="Arial" w:eastAsia="Arial" w:hAnsi="Arial"/>
          <w:sz w:val="22"/>
          <w:szCs w:val="22"/>
        </w:rPr>
        <w:t xml:space="preserve">98 (recuperables por llamado)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 telefono cargado: </w:t>
      </w:r>
      <w:r>
        <w:rPr>
          <w:rFonts w:ascii="Arial" w:cs="Arial" w:eastAsia="Arial" w:hAnsi="Arial"/>
          <w:sz w:val="22"/>
          <w:szCs w:val="22"/>
        </w:rPr>
        <w:t xml:space="preserve">346 (97% de la base)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Nota: El 61% de los rebotes se concentro en el Dia 1. La causa es la reputacion del dominio afectada por envios masivos anteriores a esta gestion, no el formato ni el contenido del mail.</w:t>
      </w:r>
    </w:p>
    <w:p>
      <w:pPr>
        <w:spacing w:after="200" w:before="200"/>
      </w:pP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222601"/>
          <w:sz w:val="24"/>
          <w:szCs w:val="24"/>
        </w:rPr>
        <w:t xml:space="preserve">Oportunidades generadas: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KEISER GROUP</w:t>
      </w: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Estado: </w:t>
      </w:r>
      <w:r>
        <w:rPr>
          <w:rFonts w:ascii="Arial" w:cs="Arial" w:eastAsia="Arial" w:hAnsi="Arial"/>
          <w:sz w:val="22"/>
          <w:szCs w:val="22"/>
        </w:rPr>
        <w:t xml:space="preserve">Cotizacion enviada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Contacto: </w:t>
      </w:r>
      <w:r>
        <w:rPr>
          <w:rFonts w:ascii="Arial" w:cs="Arial" w:eastAsia="Arial" w:hAnsi="Arial"/>
          <w:sz w:val="22"/>
          <w:szCs w:val="22"/>
        </w:rPr>
        <w:t xml:space="preserve">Georgina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Servicio: </w:t>
      </w:r>
      <w:r>
        <w:rPr>
          <w:rFonts w:ascii="Arial" w:cs="Arial" w:eastAsia="Arial" w:hAnsi="Arial"/>
          <w:sz w:val="22"/>
          <w:szCs w:val="22"/>
        </w:rPr>
        <w:t xml:space="preserve">Viandas corporativas — 30/38 PAX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Ubicacion: </w:t>
      </w:r>
      <w:r>
        <w:rPr>
          <w:rFonts w:ascii="Arial" w:cs="Arial" w:eastAsia="Arial" w:hAnsi="Arial"/>
          <w:sz w:val="22"/>
          <w:szCs w:val="22"/>
        </w:rPr>
        <w:t xml:space="preserve">Parque Industrial Hurlingham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Proximo paso: </w:t>
      </w:r>
      <w:r>
        <w:rPr>
          <w:rFonts w:ascii="Arial" w:cs="Arial" w:eastAsia="Arial" w:hAnsi="Arial"/>
          <w:sz w:val="22"/>
          <w:szCs w:val="22"/>
        </w:rPr>
        <w:t xml:space="preserve">Seguimiento semanal</w:t>
      </w:r>
    </w:p>
    <w:p>
      <w:pPr>
        <w:spacing w:after="200" w:before="20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LABORATORIO BOEHRINGER</w:t>
      </w: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Estado: </w:t>
      </w:r>
      <w:r>
        <w:rPr>
          <w:rFonts w:ascii="Arial" w:cs="Arial" w:eastAsia="Arial" w:hAnsi="Arial"/>
          <w:sz w:val="22"/>
          <w:szCs w:val="22"/>
        </w:rPr>
        <w:t xml:space="preserve">Propuesta Solicitada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Contacto: </w:t>
      </w:r>
      <w:r>
        <w:rPr>
          <w:rFonts w:ascii="Arial" w:cs="Arial" w:eastAsia="Arial" w:hAnsi="Arial"/>
          <w:sz w:val="22"/>
          <w:szCs w:val="22"/>
        </w:rPr>
        <w:t xml:space="preserve">Area de marketing (nombre pendiente)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Situacion: </w:t>
      </w:r>
      <w:r>
        <w:rPr>
          <w:rFonts w:ascii="Arial" w:cs="Arial" w:eastAsia="Arial" w:hAnsi="Arial"/>
          <w:sz w:val="22"/>
          <w:szCs w:val="22"/>
        </w:rPr>
        <w:t xml:space="preserve">El contacto de marketing esta ayudando a participar de la licitacion del comedor del personal. Propuesta a presentar: maquina expendedora como novedad del servicio.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Pendiente: </w:t>
      </w:r>
      <w:r>
        <w:rPr>
          <w:rFonts w:ascii="Arial" w:cs="Arial" w:eastAsia="Arial" w:hAnsi="Arial"/>
          <w:sz w:val="22"/>
          <w:szCs w:val="22"/>
        </w:rPr>
        <w:t xml:space="preserve">Recibir mail del canal correcto para enviar correo + especificaciones tecnicas solicitadas.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Objetivo: </w:t>
      </w:r>
      <w:r>
        <w:rPr>
          <w:rFonts w:ascii="Arial" w:cs="Arial" w:eastAsia="Arial" w:hAnsi="Arial"/>
          <w:sz w:val="22"/>
          <w:szCs w:val="22"/>
        </w:rPr>
        <w:t xml:space="preserve">Ser tenidos en cuenta para licitar el comedor del personal.</w:t>
      </w:r>
    </w:p>
    <w:p>
      <w:pPr>
        <w:spacing w:after="200" w:before="20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RIERA</w:t>
      </w: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Estado: </w:t>
      </w:r>
      <w:r>
        <w:rPr>
          <w:rFonts w:ascii="Arial" w:cs="Arial" w:eastAsia="Arial" w:hAnsi="Arial"/>
          <w:sz w:val="22"/>
          <w:szCs w:val="22"/>
        </w:rPr>
        <w:t xml:space="preserve">Cerrada sin exito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Situacion: </w:t>
      </w:r>
      <w:r>
        <w:rPr>
          <w:rFonts w:ascii="Arial" w:cs="Arial" w:eastAsia="Arial" w:hAnsi="Arial"/>
          <w:sz w:val="22"/>
          <w:szCs w:val="22"/>
        </w:rPr>
        <w:t xml:space="preserve">Contestaron que estan evaluando a Catering del Tuyu. MARVAL quedo muy lejos en precio.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Nota interna: </w:t>
      </w:r>
      <w:r>
        <w:rPr>
          <w:rFonts w:ascii="Arial" w:cs="Arial" w:eastAsia="Arial" w:hAnsi="Arial"/>
          <w:sz w:val="22"/>
          <w:szCs w:val="22"/>
        </w:rPr>
        <w:t xml:space="preserve">Revisar posicionamiento de precio para zona / competencia.</w:t>
      </w:r>
    </w:p>
    <w:p>
      <w:pPr>
        <w:spacing w:after="200" w:before="200"/>
      </w:pP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222601"/>
          <w:sz w:val="24"/>
          <w:szCs w:val="24"/>
        </w:rPr>
        <w:t xml:space="preserve">Pendientes Fase 2: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⏳  Sesion fotografica pendiente (menu / planta)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⏳  Configuracion correo corporativo pendiente (esperando datos)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⏳  PC MARVAL para centralizar herramientas pendiente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⏳  Devolucion materiales MIMA + activacion redes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222601"/>
          <w:sz w:val="36"/>
          <w:szCs w:val="36"/>
        </w:rPr>
        <w:t xml:space="preserve">6. Fase 3 — Cierre y Conversion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6B6B5A"/>
          <w:sz w:val="22"/>
          <w:szCs w:val="22"/>
        </w:rPr>
        <w:t xml:space="preserve">PROXIMA</w:t>
      </w:r>
    </w:p>
    <w:p>
      <w:pPr>
        <w:spacing w:after="200" w:before="200"/>
      </w:pP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⏳  Reuniones presenciales / videollamadas con prospectos calientes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⏳  Entrega dossier + cotizacion personalizada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⏳  Seguimiento post-visita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⏳  Activacion referencias clientes actuales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⏳  Estrategia WhatsApp Marketing</w:t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222601"/>
          <w:sz w:val="36"/>
          <w:szCs w:val="36"/>
        </w:rPr>
        <w:t xml:space="preserve">7. Estrategia de Posicionamiento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430"/>
        <w:gridCol w:w="3430"/>
      </w:tblGrid>
      <w:tr>
        <w:tc>
          <w:tcPr>
            <w:tcW w:type="dxa" w:w="2500"/>
            <w:tcBorders>
              <w:top w:val="single" w:color="E5E5DC" w:sz="1"/>
              <w:left w:val="single" w:color="E5E5DC" w:sz="1"/>
              <w:bottom w:val="single" w:color="E5E5DC" w:sz="1"/>
              <w:right w:val="single" w:color="E5E5DC" w:sz="1"/>
            </w:tcBorders>
            <w:shd w:fill="22260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Diferencial</w:t>
            </w:r>
          </w:p>
        </w:tc>
        <w:tc>
          <w:tcPr>
            <w:tcW w:type="dxa" w:w="3430"/>
            <w:tcBorders>
              <w:top w:val="single" w:color="E5E5DC" w:sz="1"/>
              <w:left w:val="single" w:color="E5E5DC" w:sz="1"/>
              <w:bottom w:val="single" w:color="E5E5DC" w:sz="1"/>
              <w:right w:val="single" w:color="E5E5DC" w:sz="1"/>
            </w:tcBorders>
            <w:shd w:fill="22260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Mensaje Central</w:t>
            </w:r>
          </w:p>
        </w:tc>
        <w:tc>
          <w:tcPr>
            <w:tcW w:type="dxa" w:w="3430"/>
            <w:tcBorders>
              <w:top w:val="single" w:color="E5E5DC" w:sz="1"/>
              <w:left w:val="single" w:color="E5E5DC" w:sz="1"/>
              <w:bottom w:val="single" w:color="E5E5DC" w:sz="1"/>
              <w:right w:val="single" w:color="E5E5DC" w:sz="1"/>
            </w:tcBorders>
            <w:shd w:fill="22260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Aplicacion</w:t>
            </w:r>
          </w:p>
        </w:tc>
      </w:tr>
      <w:tr>
        <w:tc>
          <w:tcPr>
            <w:tcW w:type="dxa" w:w="2500"/>
            <w:tcBorders>
              <w:top w:val="single" w:color="E5E5DC" w:sz="1"/>
              <w:left w:val="single" w:color="E5E5DC" w:sz="1"/>
              <w:bottom w:val="single" w:color="E5E5DC" w:sz="1"/>
              <w:right w:val="single" w:color="E5E5DC" w:sz="1"/>
            </w:tcBorders>
            <w:shd w:fill="F7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Comida casera</w:t>
            </w:r>
          </w:p>
        </w:tc>
        <w:tc>
          <w:tcPr>
            <w:tcW w:type="dxa" w:w="2500"/>
            <w:tcBorders>
              <w:top w:val="single" w:color="E5E5DC" w:sz="1"/>
              <w:left w:val="single" w:color="E5E5DC" w:sz="1"/>
              <w:bottom w:val="single" w:color="E5E5DC" w:sz="1"/>
              <w:right w:val="single" w:color="E5E5DC" w:sz="1"/>
            </w:tcBorders>
            <w:shd w:fill="F7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Sabor de casa con procesos industriales organizados</w:t>
            </w:r>
          </w:p>
        </w:tc>
        <w:tc>
          <w:tcPr>
            <w:tcW w:type="dxa" w:w="2500"/>
            <w:tcBorders>
              <w:top w:val="single" w:color="E5E5DC" w:sz="1"/>
              <w:left w:val="single" w:color="E5E5DC" w:sz="1"/>
              <w:bottom w:val="single" w:color="E5E5DC" w:sz="1"/>
              <w:right w:val="single" w:color="E5E5DC" w:sz="1"/>
            </w:tcBorders>
            <w:shd w:fill="F7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Todos los materiales y mails</w:t>
            </w:r>
          </w:p>
        </w:tc>
      </w:tr>
      <w:tr>
        <w:tc>
          <w:tcPr>
            <w:tcW w:type="dxa" w:w="3430"/>
            <w:tcBorders>
              <w:top w:val="single" w:color="E5E5DC" w:sz="1"/>
              <w:left w:val="single" w:color="E5E5DC" w:sz="1"/>
              <w:bottom w:val="single" w:color="E5E5DC" w:sz="1"/>
              <w:right w:val="single" w:color="E5E5D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Sistema hibrido</w:t>
            </w:r>
          </w:p>
        </w:tc>
        <w:tc>
          <w:tcPr>
            <w:tcW w:type="dxa" w:w="3430"/>
            <w:tcBorders>
              <w:top w:val="single" w:color="E5E5DC" w:sz="1"/>
              <w:left w:val="single" w:color="E5E5DC" w:sz="1"/>
              <w:bottom w:val="single" w:color="E5E5DC" w:sz="1"/>
              <w:right w:val="single" w:color="E5E5D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Cook &amp; Chill + regeneracion Rational</w:t>
            </w:r>
          </w:p>
        </w:tc>
        <w:tc>
          <w:tcPr>
            <w:tcW w:type="dxa" w:w="3430"/>
            <w:tcBorders>
              <w:top w:val="single" w:color="E5E5DC" w:sz="1"/>
              <w:left w:val="single" w:color="E5E5DC" w:sz="1"/>
              <w:bottom w:val="single" w:color="E5E5DC" w:sz="1"/>
              <w:right w:val="single" w:color="E5E5D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Propuestas y dossier</w:t>
            </w:r>
          </w:p>
        </w:tc>
      </w:tr>
      <w:tr>
        <w:tc>
          <w:tcPr>
            <w:tcW w:type="dxa" w:w="3430"/>
            <w:tcBorders>
              <w:top w:val="single" w:color="E5E5DC" w:sz="1"/>
              <w:left w:val="single" w:color="E5E5DC" w:sz="1"/>
              <w:bottom w:val="single" w:color="E5E5DC" w:sz="1"/>
              <w:right w:val="single" w:color="E5E5DC" w:sz="1"/>
            </w:tcBorders>
            <w:shd w:fill="F7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App propia</w:t>
            </w:r>
          </w:p>
        </w:tc>
        <w:tc>
          <w:tcPr>
            <w:tcW w:type="dxa" w:w="3430"/>
            <w:tcBorders>
              <w:top w:val="single" w:color="E5E5DC" w:sz="1"/>
              <w:left w:val="single" w:color="E5E5DC" w:sz="1"/>
              <w:bottom w:val="single" w:color="E5E5DC" w:sz="1"/>
              <w:right w:val="single" w:color="E5E5DC" w:sz="1"/>
            </w:tcBorders>
            <w:shd w:fill="F7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Pedidos sin desorden, RRHH tiene control total</w:t>
            </w:r>
          </w:p>
        </w:tc>
        <w:tc>
          <w:tcPr>
            <w:tcW w:type="dxa" w:w="3430"/>
            <w:tcBorders>
              <w:top w:val="single" w:color="E5E5DC" w:sz="1"/>
              <w:left w:val="single" w:color="E5E5DC" w:sz="1"/>
              <w:bottom w:val="single" w:color="E5E5DC" w:sz="1"/>
              <w:right w:val="single" w:color="E5E5DC" w:sz="1"/>
            </w:tcBorders>
            <w:shd w:fill="F7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Reuniones y demo</w:t>
            </w:r>
          </w:p>
        </w:tc>
      </w:tr>
      <w:tr>
        <w:tc>
          <w:tcPr>
            <w:tcW w:type="dxa" w:w="3430"/>
            <w:tcBorders>
              <w:top w:val="single" w:color="E5E5DC" w:sz="1"/>
              <w:left w:val="single" w:color="E5E5DC" w:sz="1"/>
              <w:bottom w:val="single" w:color="E5E5DC" w:sz="1"/>
              <w:right w:val="single" w:color="E5E5D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Programa Bienestar</w:t>
            </w:r>
          </w:p>
        </w:tc>
        <w:tc>
          <w:tcPr>
            <w:tcW w:type="dxa" w:w="3430"/>
            <w:tcBorders>
              <w:top w:val="single" w:color="E5E5DC" w:sz="1"/>
              <w:left w:val="single" w:color="E5E5DC" w:sz="1"/>
              <w:bottom w:val="single" w:color="E5E5DC" w:sz="1"/>
              <w:right w:val="single" w:color="E5E5D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Viandas hogar + viandas escolares para hijos del personal</w:t>
            </w:r>
          </w:p>
        </w:tc>
        <w:tc>
          <w:tcPr>
            <w:tcW w:type="dxa" w:w="3430"/>
            <w:tcBorders>
              <w:top w:val="single" w:color="E5E5DC" w:sz="1"/>
              <w:left w:val="single" w:color="E5E5DC" w:sz="1"/>
              <w:bottom w:val="single" w:color="E5E5DC" w:sz="1"/>
              <w:right w:val="single" w:color="E5E5D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Toque 2 y diferenciacion</w:t>
            </w:r>
          </w:p>
        </w:tc>
      </w:tr>
      <w:tr>
        <w:tc>
          <w:tcPr>
            <w:tcW w:type="dxa" w:w="3430"/>
            <w:tcBorders>
              <w:top w:val="single" w:color="E5E5DC" w:sz="1"/>
              <w:left w:val="single" w:color="E5E5DC" w:sz="1"/>
              <w:bottom w:val="single" w:color="E5E5DC" w:sz="1"/>
              <w:right w:val="single" w:color="E5E5DC" w:sz="1"/>
            </w:tcBorders>
            <w:shd w:fill="F7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Empresa familiar</w:t>
            </w:r>
          </w:p>
        </w:tc>
        <w:tc>
          <w:tcPr>
            <w:tcW w:type="dxa" w:w="3430"/>
            <w:tcBorders>
              <w:top w:val="single" w:color="E5E5DC" w:sz="1"/>
              <w:left w:val="single" w:color="E5E5DC" w:sz="1"/>
              <w:bottom w:val="single" w:color="E5E5DC" w:sz="1"/>
              <w:right w:val="single" w:color="E5E5DC" w:sz="1"/>
            </w:tcBorders>
            <w:shd w:fill="F7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Valeria y German al frente — cercania + estructura profesional</w:t>
            </w:r>
          </w:p>
        </w:tc>
        <w:tc>
          <w:tcPr>
            <w:tcW w:type="dxa" w:w="3430"/>
            <w:tcBorders>
              <w:top w:val="single" w:color="E5E5DC" w:sz="1"/>
              <w:left w:val="single" w:color="E5E5DC" w:sz="1"/>
              <w:bottom w:val="single" w:color="E5E5DC" w:sz="1"/>
              <w:right w:val="single" w:color="E5E5DC" w:sz="1"/>
            </w:tcBorders>
            <w:shd w:fill="F7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Humanizacion de marca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222601"/>
          <w:sz w:val="36"/>
          <w:szCs w:val="36"/>
        </w:rPr>
        <w:t xml:space="preserve">8. Requerimientos Pendientes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🔴  PC para configuracion y automatizacion comercial activa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🔴  Devolucion de MIMA de lo trabajado + activar redes sociales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🟡  Ampliar base de datos de prospectos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🟡  Armar estrategia de WhatsApp Marketing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🟡  Terminar de configurar WhatsApp Comercial (va de la mano con estrategia de marketing digital)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🟡  Configuracion de correo corporativo (pendiente: esperando datos correctos)</w:t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222601"/>
          <w:sz w:val="36"/>
          <w:szCs w:val="36"/>
        </w:rPr>
        <w:t xml:space="preserve">9. Herramientas Comerciales Operativas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Cotizador: </w:t>
      </w:r>
      <w:r>
        <w:rPr>
          <w:rFonts w:ascii="Arial" w:cs="Arial" w:eastAsia="Arial" w:hAnsi="Arial"/>
          <w:sz w:val="22"/>
          <w:szCs w:val="22"/>
        </w:rPr>
        <w:t xml:space="preserve">Genera propuestas de precio para viandas y comedor en planta. Se puede mejorar con tabla de precios de German, actualizable manualmente o de forma automatizada.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Gestor de Campanas Email: </w:t>
      </w:r>
      <w:r>
        <w:rPr>
          <w:rFonts w:ascii="Arial" w:cs="Arial" w:eastAsia="Arial" w:hAnsi="Arial"/>
          <w:sz w:val="22"/>
          <w:szCs w:val="22"/>
        </w:rPr>
        <w:t xml:space="preserve">Envio personalizado a prospectos con seguimiento por empresa. Configuracion local en PC Nico. A migrar a PC definitiva MARVAL cuando este disponible.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Base de Datos: </w:t>
      </w:r>
      <w:r>
        <w:rPr>
          <w:rFonts w:ascii="Arial" w:cs="Arial" w:eastAsia="Arial" w:hAnsi="Arial"/>
          <w:sz w:val="22"/>
          <w:szCs w:val="22"/>
        </w:rPr>
        <w:t xml:space="preserve">Base consolidada de 354 prospectos. Configuracion en PC Nico. A migrar a PC definitiva MARVAL.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CRM Comercial: </w:t>
      </w:r>
      <w:r>
        <w:rPr>
          <w:rFonts w:ascii="Arial" w:cs="Arial" w:eastAsia="Arial" w:hAnsi="Arial"/>
          <w:sz w:val="22"/>
          <w:szCs w:val="22"/>
        </w:rPr>
        <w:t xml:space="preserve">Panel de seguimiento compartido con pipeline, agenda, materiales y plan de accion.</w:t>
      </w:r>
    </w:p>
    <w:p>
      <w:pPr>
        <w:spacing w:after="200" w:before="20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7A5200"/>
          <w:sz w:val="22"/>
          <w:szCs w:val="22"/>
        </w:rPr>
        <w:t xml:space="preserve">MARVAL necesita una PC dedicada para centralizar y activar todas estas herramientas comerciales. Con esa PC configurada, se puede automatizar el proceso completo con IA si asi lo desean.</w:t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222601"/>
          <w:sz w:val="36"/>
          <w:szCs w:val="36"/>
        </w:rPr>
        <w:t xml:space="preserve">10. KPIs a Seguir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●  Empresas contactadas en campana activa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●  Respuestas recibidas (positivas / negativas / sin respuesta)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●  Reuniones coordinadas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●  Cotizaciones enviadas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●  Contratos cerrados</w:t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222601"/>
          <w:sz w:val="36"/>
          <w:szCs w:val="36"/>
        </w:rPr>
        <w:t xml:space="preserve">11. Nota sobre el Sitio Web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El sitio www.marvalrh.com.ar ya estaba construido previamente. En esta etapa solo se realizaron ajustes y actualizaciones de contenido.</w:t>
      </w:r>
    </w:p>
    <w:p>
      <w:pPr>
        <w:spacing w:after="200" w:before="200"/>
      </w:pP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222601"/>
          <w:sz w:val="36"/>
          <w:szCs w:val="36"/>
        </w:rPr>
        <w:t xml:space="preserve">Cierre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El proposito de este plan es acompanar a MARVAL RH en una evolucion hacia un modelo comercial moderno, proactivo y orientado al crecimiento sostenible. Ordenar primero hace que vender despues sea mas facil.</w:t>
      </w:r>
    </w:p>
    <w:p>
      <w:pPr>
        <w:spacing w:after="200" w:before="200"/>
      </w:pP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Nicolas Geronimo — Asesor Comercial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comercial@marvalrh.com.ar | 11 3593-5955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Abril 2026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MARVAL Servicios Gastronomicos — Pagina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Plan Estrategico Comercial MARVAL — Abril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360"/>
      <w:outlineLvl w:val="0"/>
    </w:pPr>
    <w:rPr>
      <w:rFonts w:ascii="Arial" w:cs="Arial" w:eastAsia="Arial" w:hAnsi="Arial"/>
      <w:b/>
      <w:bCs/>
      <w:color w:val="22260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80" w:before="240"/>
      <w:outlineLvl w:val="1"/>
    </w:pPr>
    <w:rPr>
      <w:rFonts w:ascii="Arial" w:cs="Arial" w:eastAsia="Arial" w:hAnsi="Arial"/>
      <w:b/>
      <w:bCs/>
      <w:color w:val="222601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222601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e21cfc5ef645189c09893efc45f9f17fdbc1dc69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2026-04-02T17:19:00.355Z</dcterms:created>
  <dcterms:modified xsi:type="dcterms:W3CDTF">2026-04-02T17:19:00.357Z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